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7E" w:rsidRDefault="00B86343">
      <w:r>
        <w:rPr>
          <w:b/>
          <w:noProof/>
        </w:rPr>
        <w:drawing>
          <wp:anchor distT="0" distB="0" distL="114300" distR="114300" simplePos="0" relativeHeight="251659264" behindDoc="0" locked="0" layoutInCell="1" allowOverlap="1" wp14:anchorId="7170F951" wp14:editId="16198CDE">
            <wp:simplePos x="0" y="0"/>
            <wp:positionH relativeFrom="column">
              <wp:posOffset>-667385</wp:posOffset>
            </wp:positionH>
            <wp:positionV relativeFrom="paragraph">
              <wp:posOffset>68940</wp:posOffset>
            </wp:positionV>
            <wp:extent cx="1110318" cy="1181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TI Petit form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0318" cy="1181100"/>
                    </a:xfrm>
                    <a:prstGeom prst="rect">
                      <a:avLst/>
                    </a:prstGeom>
                  </pic:spPr>
                </pic:pic>
              </a:graphicData>
            </a:graphic>
            <wp14:sizeRelH relativeFrom="margin">
              <wp14:pctWidth>0</wp14:pctWidth>
            </wp14:sizeRelH>
            <wp14:sizeRelV relativeFrom="margin">
              <wp14:pctHeight>0</wp14:pctHeight>
            </wp14:sizeRelV>
          </wp:anchor>
        </w:drawing>
      </w:r>
    </w:p>
    <w:p w:rsidR="00B86343" w:rsidRDefault="00B86343" w:rsidP="00B86343">
      <w:pPr>
        <w:pStyle w:val="Titre4"/>
        <w:spacing w:before="0" w:beforeAutospacing="0" w:after="0" w:afterAutospacing="0"/>
        <w:ind w:left="948"/>
        <w:rPr>
          <w:rFonts w:ascii="Georgia" w:eastAsia="Times New Roman" w:hAnsi="Georgia"/>
          <w:color w:val="2E74B5" w:themeColor="accent1" w:themeShade="BF"/>
          <w:u w:val="single"/>
        </w:rPr>
      </w:pPr>
    </w:p>
    <w:p w:rsidR="00B86343" w:rsidRPr="00043BC4" w:rsidRDefault="00043BC4" w:rsidP="00043BC4">
      <w:pPr>
        <w:pStyle w:val="Titre4"/>
        <w:spacing w:before="0" w:beforeAutospacing="0" w:after="0" w:afterAutospacing="0"/>
        <w:ind w:left="948"/>
        <w:jc w:val="center"/>
        <w:rPr>
          <w:rFonts w:ascii="Georgia" w:eastAsia="Times New Roman" w:hAnsi="Georgia"/>
          <w:color w:val="2E74B5" w:themeColor="accent1" w:themeShade="BF"/>
          <w:sz w:val="36"/>
          <w:szCs w:val="36"/>
          <w:u w:val="single"/>
        </w:rPr>
      </w:pPr>
      <w:r>
        <w:rPr>
          <w:rFonts w:ascii="Georgia" w:eastAsia="Times New Roman" w:hAnsi="Georgia"/>
          <w:color w:val="2E74B5" w:themeColor="accent1" w:themeShade="BF"/>
          <w:sz w:val="36"/>
          <w:szCs w:val="36"/>
          <w:u w:val="single"/>
        </w:rPr>
        <w:t>LISTE DES ETABLISSEMENT</w:t>
      </w:r>
      <w:r w:rsidR="00060670">
        <w:rPr>
          <w:rFonts w:ascii="Georgia" w:eastAsia="Times New Roman" w:hAnsi="Georgia"/>
          <w:color w:val="2E74B5" w:themeColor="accent1" w:themeShade="BF"/>
          <w:sz w:val="36"/>
          <w:szCs w:val="36"/>
          <w:u w:val="single"/>
        </w:rPr>
        <w:t>S</w:t>
      </w:r>
      <w:bookmarkStart w:id="0" w:name="_GoBack"/>
      <w:bookmarkEnd w:id="0"/>
    </w:p>
    <w:p w:rsidR="00B86343" w:rsidRDefault="00B86343" w:rsidP="00B86343">
      <w:pPr>
        <w:pStyle w:val="Titre4"/>
        <w:spacing w:before="0" w:beforeAutospacing="0" w:after="0" w:afterAutospacing="0"/>
        <w:ind w:left="948"/>
        <w:rPr>
          <w:rFonts w:ascii="Georgia" w:eastAsia="Times New Roman" w:hAnsi="Georgia"/>
          <w:color w:val="2E74B5" w:themeColor="accent1" w:themeShade="BF"/>
          <w:u w:val="single"/>
        </w:rPr>
      </w:pPr>
    </w:p>
    <w:p w:rsidR="00043BC4" w:rsidRDefault="00043BC4" w:rsidP="00B86343">
      <w:pPr>
        <w:pStyle w:val="Titre4"/>
        <w:spacing w:before="0" w:beforeAutospacing="0" w:after="0" w:afterAutospacing="0"/>
        <w:ind w:left="948"/>
        <w:rPr>
          <w:rFonts w:ascii="Georgia" w:eastAsia="Times New Roman" w:hAnsi="Georgia"/>
          <w:color w:val="2E74B5" w:themeColor="accent1" w:themeShade="BF"/>
          <w:u w:val="single"/>
        </w:rPr>
      </w:pPr>
    </w:p>
    <w:p w:rsidR="00B86343" w:rsidRPr="00B86343" w:rsidRDefault="00B86343" w:rsidP="00B86343">
      <w:pPr>
        <w:pStyle w:val="Titre4"/>
        <w:spacing w:before="0" w:beforeAutospacing="0" w:after="0" w:afterAutospacing="0"/>
        <w:ind w:left="948"/>
        <w:rPr>
          <w:rFonts w:ascii="Georgia" w:eastAsia="Times New Roman" w:hAnsi="Georgia"/>
          <w:color w:val="000000"/>
          <w:u w:val="single"/>
        </w:rPr>
      </w:pPr>
      <w:r w:rsidRPr="00B86343">
        <w:rPr>
          <w:rFonts w:ascii="Georgia" w:eastAsia="Times New Roman" w:hAnsi="Georgia"/>
          <w:color w:val="2E74B5" w:themeColor="accent1" w:themeShade="BF"/>
          <w:u w:val="single"/>
        </w:rPr>
        <w:t>Quels sont les établissements soumis à l'obligation de fermeture ?</w:t>
      </w: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Pr="00B86343" w:rsidRDefault="00B86343" w:rsidP="00B86343">
      <w:pPr>
        <w:pStyle w:val="NormalWeb"/>
        <w:spacing w:after="240"/>
        <w:ind w:left="948"/>
        <w:rPr>
          <w:rFonts w:ascii="Georgia" w:hAnsi="Georgia"/>
          <w:color w:val="000000"/>
          <w:sz w:val="20"/>
          <w:szCs w:val="20"/>
        </w:rPr>
      </w:pPr>
      <w:r w:rsidRPr="00B86343">
        <w:rPr>
          <w:rFonts w:ascii="Georgia" w:hAnsi="Georgia"/>
          <w:color w:val="000000"/>
          <w:sz w:val="20"/>
          <w:szCs w:val="20"/>
        </w:rPr>
        <w:t>Afin de ralentir la propagation du COVID-19, plusieurs catégories d'établissements ne peuvent plus accueillir de public, et ce, jusqu’au 15 avril 2020 :</w:t>
      </w:r>
    </w:p>
    <w:p w:rsidR="00B86343" w:rsidRPr="00B86343" w:rsidRDefault="00B86343" w:rsidP="00B86343">
      <w:pPr>
        <w:numPr>
          <w:ilvl w:val="0"/>
          <w:numId w:val="1"/>
        </w:numPr>
        <w:ind w:left="0"/>
        <w:rPr>
          <w:rFonts w:ascii="Georgia" w:eastAsia="Times New Roman" w:hAnsi="Georgia"/>
          <w:color w:val="000000"/>
          <w:sz w:val="20"/>
          <w:szCs w:val="20"/>
        </w:rPr>
      </w:pPr>
      <w:r w:rsidRPr="00B86343">
        <w:rPr>
          <w:rFonts w:ascii="Georgia" w:eastAsia="Times New Roman" w:hAnsi="Georgia"/>
          <w:color w:val="000000"/>
          <w:sz w:val="20"/>
          <w:szCs w:val="20"/>
        </w:rPr>
        <w:t>Salles d'auditions, de conférences, de réunions, de spectacles ou à usage multiple (par exemple, les cinémas) ;</w:t>
      </w:r>
    </w:p>
    <w:p w:rsidR="00B86343" w:rsidRPr="00B86343" w:rsidRDefault="00B86343" w:rsidP="00B86343">
      <w:pPr>
        <w:numPr>
          <w:ilvl w:val="0"/>
          <w:numId w:val="1"/>
        </w:numPr>
        <w:ind w:left="0"/>
        <w:rPr>
          <w:rFonts w:ascii="Georgia" w:eastAsia="Times New Roman" w:hAnsi="Georgia"/>
          <w:color w:val="000000"/>
          <w:sz w:val="20"/>
          <w:szCs w:val="20"/>
        </w:rPr>
      </w:pPr>
      <w:r w:rsidRPr="00B86343">
        <w:rPr>
          <w:rFonts w:ascii="Georgia" w:eastAsia="Times New Roman" w:hAnsi="Georgia"/>
          <w:color w:val="000000"/>
          <w:sz w:val="20"/>
          <w:szCs w:val="20"/>
        </w:rPr>
        <w:t>Centres commerciaux et commerces autres que ceux autorisés à rester ouverts ;</w:t>
      </w:r>
    </w:p>
    <w:p w:rsidR="00B86343" w:rsidRPr="00B86343" w:rsidRDefault="00B86343" w:rsidP="00B86343">
      <w:pPr>
        <w:numPr>
          <w:ilvl w:val="0"/>
          <w:numId w:val="1"/>
        </w:numPr>
        <w:ind w:left="0"/>
        <w:rPr>
          <w:rFonts w:ascii="Georgia" w:eastAsia="Times New Roman" w:hAnsi="Georgia"/>
          <w:color w:val="000000"/>
          <w:sz w:val="20"/>
          <w:szCs w:val="20"/>
        </w:rPr>
      </w:pPr>
      <w:r w:rsidRPr="00B86343">
        <w:rPr>
          <w:rFonts w:ascii="Georgia" w:eastAsia="Times New Roman" w:hAnsi="Georgia"/>
          <w:color w:val="000000"/>
          <w:sz w:val="20"/>
          <w:szCs w:val="20"/>
        </w:rPr>
        <w:t>Restaurants et débits de boissons ;</w:t>
      </w:r>
    </w:p>
    <w:p w:rsidR="00B86343" w:rsidRPr="00B86343" w:rsidRDefault="00B86343" w:rsidP="00B86343">
      <w:pPr>
        <w:numPr>
          <w:ilvl w:val="0"/>
          <w:numId w:val="1"/>
        </w:numPr>
        <w:ind w:left="0"/>
        <w:rPr>
          <w:rFonts w:ascii="Georgia" w:eastAsia="Times New Roman" w:hAnsi="Georgia"/>
          <w:color w:val="000000"/>
          <w:sz w:val="20"/>
          <w:szCs w:val="20"/>
        </w:rPr>
      </w:pPr>
      <w:r w:rsidRPr="00B86343">
        <w:rPr>
          <w:rFonts w:ascii="Georgia" w:eastAsia="Times New Roman" w:hAnsi="Georgia"/>
          <w:color w:val="000000"/>
          <w:sz w:val="20"/>
          <w:szCs w:val="20"/>
        </w:rPr>
        <w:t>Salles de danse et salles de jeux ;</w:t>
      </w:r>
    </w:p>
    <w:p w:rsidR="00B86343" w:rsidRPr="00B86343" w:rsidRDefault="00B86343" w:rsidP="00B86343">
      <w:pPr>
        <w:numPr>
          <w:ilvl w:val="0"/>
          <w:numId w:val="1"/>
        </w:numPr>
        <w:ind w:left="0"/>
        <w:rPr>
          <w:rFonts w:ascii="Georgia" w:eastAsia="Times New Roman" w:hAnsi="Georgia"/>
          <w:color w:val="000000"/>
          <w:sz w:val="20"/>
          <w:szCs w:val="20"/>
        </w:rPr>
      </w:pPr>
      <w:r w:rsidRPr="00B86343">
        <w:rPr>
          <w:rFonts w:ascii="Georgia" w:eastAsia="Times New Roman" w:hAnsi="Georgia"/>
          <w:color w:val="000000"/>
          <w:sz w:val="20"/>
          <w:szCs w:val="20"/>
        </w:rPr>
        <w:t>Bibliothèques, centres de documentation ;</w:t>
      </w:r>
    </w:p>
    <w:p w:rsidR="00B86343" w:rsidRPr="00B86343" w:rsidRDefault="00B86343" w:rsidP="00B86343">
      <w:pPr>
        <w:numPr>
          <w:ilvl w:val="0"/>
          <w:numId w:val="1"/>
        </w:numPr>
        <w:ind w:left="0"/>
        <w:rPr>
          <w:rFonts w:ascii="Georgia" w:eastAsia="Times New Roman" w:hAnsi="Georgia"/>
          <w:color w:val="000000"/>
          <w:sz w:val="20"/>
          <w:szCs w:val="20"/>
        </w:rPr>
      </w:pPr>
      <w:r w:rsidRPr="00B86343">
        <w:rPr>
          <w:rFonts w:ascii="Georgia" w:eastAsia="Times New Roman" w:hAnsi="Georgia"/>
          <w:color w:val="000000"/>
          <w:sz w:val="20"/>
          <w:szCs w:val="20"/>
        </w:rPr>
        <w:t>Salles d'expositions ;</w:t>
      </w:r>
    </w:p>
    <w:p w:rsidR="00B86343" w:rsidRPr="00B86343" w:rsidRDefault="00B86343" w:rsidP="00B86343">
      <w:pPr>
        <w:numPr>
          <w:ilvl w:val="0"/>
          <w:numId w:val="1"/>
        </w:numPr>
        <w:ind w:left="0"/>
        <w:rPr>
          <w:rFonts w:ascii="Georgia" w:eastAsia="Times New Roman" w:hAnsi="Georgia"/>
          <w:color w:val="000000"/>
          <w:sz w:val="20"/>
          <w:szCs w:val="20"/>
        </w:rPr>
      </w:pPr>
      <w:r w:rsidRPr="00B86343">
        <w:rPr>
          <w:rFonts w:ascii="Georgia" w:eastAsia="Times New Roman" w:hAnsi="Georgia"/>
          <w:color w:val="000000"/>
          <w:sz w:val="20"/>
          <w:szCs w:val="20"/>
        </w:rPr>
        <w:t>Etablissements sportifs couverts ;</w:t>
      </w:r>
    </w:p>
    <w:p w:rsidR="00B86343" w:rsidRPr="00B86343" w:rsidRDefault="00B86343" w:rsidP="00B86343">
      <w:pPr>
        <w:numPr>
          <w:ilvl w:val="0"/>
          <w:numId w:val="1"/>
        </w:numPr>
        <w:ind w:left="0"/>
        <w:rPr>
          <w:rFonts w:ascii="Georgia" w:eastAsia="Times New Roman" w:hAnsi="Georgia"/>
          <w:color w:val="000000"/>
          <w:sz w:val="20"/>
          <w:szCs w:val="20"/>
        </w:rPr>
      </w:pPr>
      <w:r w:rsidRPr="00B86343">
        <w:rPr>
          <w:rFonts w:ascii="Georgia" w:eastAsia="Times New Roman" w:hAnsi="Georgia"/>
          <w:color w:val="000000"/>
          <w:sz w:val="20"/>
          <w:szCs w:val="20"/>
        </w:rPr>
        <w:t>Musées.</w:t>
      </w:r>
    </w:p>
    <w:p w:rsidR="00B86343" w:rsidRPr="00B86343" w:rsidRDefault="00B86343" w:rsidP="00B86343">
      <w:pPr>
        <w:pStyle w:val="NormalWeb"/>
        <w:spacing w:after="240"/>
        <w:jc w:val="both"/>
        <w:rPr>
          <w:rFonts w:ascii="Georgia" w:hAnsi="Georgia"/>
          <w:color w:val="000000"/>
          <w:sz w:val="20"/>
          <w:szCs w:val="20"/>
        </w:rPr>
      </w:pPr>
      <w:r w:rsidRPr="00B86343">
        <w:rPr>
          <w:rFonts w:ascii="Georgia" w:hAnsi="Georgia"/>
          <w:i/>
          <w:color w:val="000000"/>
          <w:sz w:val="20"/>
          <w:szCs w:val="20"/>
        </w:rPr>
        <w:t>Les restaurants et bars d’hôtels</w:t>
      </w:r>
      <w:r w:rsidRPr="00B86343">
        <w:rPr>
          <w:rFonts w:ascii="Georgia" w:hAnsi="Georgia"/>
          <w:color w:val="000000"/>
          <w:sz w:val="20"/>
          <w:szCs w:val="20"/>
        </w:rPr>
        <w:t>, à l’exception du “room service”, sont considérés comme relevant de la catégorie “restaurants et débits de boissons”, et ne peuvent donc pas accueillir de public. Les commerces qui ne peuvent plus accueillir de clients peuvent maintenir leurs activités de livraison et de retrait de commandes.</w:t>
      </w:r>
      <w:r w:rsidRPr="00B86343">
        <w:rPr>
          <w:rFonts w:ascii="Georgia" w:hAnsi="Georgia"/>
          <w:color w:val="000000"/>
          <w:sz w:val="20"/>
          <w:szCs w:val="20"/>
        </w:rPr>
        <w:br/>
      </w:r>
      <w:r w:rsidRPr="00B86343">
        <w:rPr>
          <w:rFonts w:ascii="Georgia" w:hAnsi="Georgia"/>
          <w:color w:val="000000"/>
          <w:sz w:val="20"/>
          <w:szCs w:val="20"/>
        </w:rPr>
        <w:br/>
        <w:t>Par ailleurs, les navires de croisière et navires à passagers transportant plus de 100 passagers ont interdiction de faire escale en Corse, et ont interdiction de faire escale ou de mouiller dans les eaux intérieures et territoriales des départements et régions d'outre-mer, ainsi que de Saint-Barthélemy et Saint-Martin, Saint-Pierre-et-Miquelon, et Wallis-et-Futuna, sauf dérogation accordée par le représentant de l'Etat compétent pour ces mêmes collectivités.</w:t>
      </w:r>
    </w:p>
    <w:p w:rsidR="00B86343" w:rsidRPr="00B86343" w:rsidRDefault="00B86343" w:rsidP="00B86343">
      <w:pPr>
        <w:pStyle w:val="Titre4"/>
        <w:spacing w:before="0" w:beforeAutospacing="0" w:after="0" w:afterAutospacing="0"/>
        <w:ind w:left="948"/>
        <w:rPr>
          <w:rFonts w:ascii="Georgia" w:eastAsia="Times New Roman" w:hAnsi="Georgia"/>
          <w:color w:val="2E74B5" w:themeColor="accent1" w:themeShade="BF"/>
          <w:u w:val="single"/>
        </w:rPr>
      </w:pPr>
      <w:r w:rsidRPr="00B86343">
        <w:rPr>
          <w:rFonts w:ascii="Georgia" w:eastAsia="Times New Roman" w:hAnsi="Georgia"/>
          <w:color w:val="2E74B5" w:themeColor="accent1" w:themeShade="BF"/>
          <w:u w:val="single"/>
        </w:rPr>
        <w:t>Quels sont les établissements autorisés à recevoir du public ?</w:t>
      </w:r>
    </w:p>
    <w:p w:rsidR="00B86343" w:rsidRPr="00B86343" w:rsidRDefault="00B86343" w:rsidP="00B86343">
      <w:pPr>
        <w:pStyle w:val="Titre4"/>
        <w:spacing w:before="0" w:beforeAutospacing="0" w:after="0" w:afterAutospacing="0"/>
        <w:ind w:left="240"/>
        <w:rPr>
          <w:rFonts w:ascii="Georgia" w:eastAsia="Times New Roman" w:hAnsi="Georgia"/>
          <w:color w:val="2E74B5" w:themeColor="accent1" w:themeShade="BF"/>
          <w:sz w:val="20"/>
          <w:szCs w:val="20"/>
          <w:u w:val="single"/>
        </w:rPr>
      </w:pPr>
    </w:p>
    <w:p w:rsidR="00B86343" w:rsidRPr="00B86343" w:rsidRDefault="00B86343" w:rsidP="00B86343">
      <w:pPr>
        <w:pStyle w:val="NormalWeb"/>
        <w:spacing w:after="240"/>
        <w:jc w:val="both"/>
        <w:rPr>
          <w:rFonts w:ascii="Georgia" w:hAnsi="Georgia"/>
          <w:color w:val="000000"/>
          <w:sz w:val="20"/>
          <w:szCs w:val="20"/>
        </w:rPr>
      </w:pPr>
      <w:r w:rsidRPr="00B86343">
        <w:rPr>
          <w:rFonts w:ascii="Georgia" w:hAnsi="Georgia"/>
          <w:color w:val="000000"/>
          <w:sz w:val="20"/>
          <w:szCs w:val="20"/>
        </w:rPr>
        <w:t>Tous les établissements indispensables à la vie de la Nation, notamment les marchés alimentaires clos ou ouverts et commerces alimentaires (y compris les Drive alimentaires), les pharmacies, les stations-services, les banques, les bureaux de tabac et distribution de la presse.</w:t>
      </w:r>
    </w:p>
    <w:p w:rsidR="00B86343" w:rsidRPr="00B86343" w:rsidRDefault="00B86343" w:rsidP="00B86343">
      <w:pPr>
        <w:pStyle w:val="NormalWeb"/>
        <w:spacing w:after="240"/>
        <w:jc w:val="both"/>
        <w:rPr>
          <w:rFonts w:ascii="Georgia" w:hAnsi="Georgia"/>
          <w:color w:val="000000"/>
          <w:sz w:val="20"/>
          <w:szCs w:val="20"/>
        </w:rPr>
      </w:pPr>
      <w:r w:rsidRPr="00B86343">
        <w:rPr>
          <w:rFonts w:ascii="Georgia" w:hAnsi="Georgia"/>
          <w:color w:val="000000"/>
          <w:sz w:val="20"/>
          <w:szCs w:val="20"/>
        </w:rPr>
        <w:t>Compte tenu de leur contribution à la vie de la Nation, les services publics restent également ouverts, y compris ceux assurant les services de transport.</w:t>
      </w:r>
    </w:p>
    <w:p w:rsidR="00B86343" w:rsidRPr="00B86343" w:rsidRDefault="00B86343" w:rsidP="00B86343">
      <w:pPr>
        <w:pStyle w:val="NormalWeb"/>
        <w:spacing w:after="240"/>
        <w:jc w:val="both"/>
        <w:rPr>
          <w:rFonts w:ascii="Georgia" w:hAnsi="Georgia"/>
          <w:color w:val="000000"/>
          <w:sz w:val="20"/>
          <w:szCs w:val="20"/>
        </w:rPr>
      </w:pPr>
      <w:r w:rsidRPr="00B86343">
        <w:rPr>
          <w:rFonts w:ascii="Georgia" w:hAnsi="Georgia"/>
          <w:color w:val="000000"/>
          <w:sz w:val="20"/>
          <w:szCs w:val="20"/>
        </w:rPr>
        <w:t>Tous les services de livraison de repas à domicile restent disponibles, et les établissements de la catégorie “restaurants et débits de boissons” sont autorisés à maintenir leurs activités de ventes à emporter et de livraison.</w:t>
      </w:r>
    </w:p>
    <w:p w:rsidR="00B86343" w:rsidRPr="00B86343" w:rsidRDefault="00B86343" w:rsidP="00B86343">
      <w:pPr>
        <w:pStyle w:val="NormalWeb"/>
        <w:spacing w:after="240"/>
        <w:jc w:val="both"/>
        <w:rPr>
          <w:rFonts w:ascii="Georgia" w:hAnsi="Georgia"/>
          <w:color w:val="000000"/>
          <w:sz w:val="20"/>
          <w:szCs w:val="20"/>
        </w:rPr>
      </w:pPr>
      <w:r w:rsidRPr="00B86343">
        <w:rPr>
          <w:rFonts w:ascii="Georgia" w:hAnsi="Georgia"/>
          <w:color w:val="000000"/>
          <w:sz w:val="20"/>
          <w:szCs w:val="20"/>
        </w:rPr>
        <w:t>Les hôtels sont assimilés à des domiciles privés et restent donc ouverts, et leurs “room service” restent disponibles. Cependant, les restaurants et bars d’hôtels ne peuvent pas accueillir de public.</w:t>
      </w:r>
    </w:p>
    <w:p w:rsidR="00B86343" w:rsidRPr="00B86343" w:rsidRDefault="00B86343" w:rsidP="00B86343">
      <w:pPr>
        <w:pStyle w:val="NormalWeb"/>
        <w:spacing w:after="240"/>
        <w:jc w:val="both"/>
        <w:rPr>
          <w:rFonts w:ascii="Georgia" w:hAnsi="Georgia"/>
          <w:color w:val="000000"/>
          <w:sz w:val="20"/>
          <w:szCs w:val="20"/>
        </w:rPr>
      </w:pPr>
      <w:r w:rsidRPr="00B86343">
        <w:rPr>
          <w:rFonts w:ascii="Georgia" w:hAnsi="Georgia"/>
          <w:color w:val="000000"/>
          <w:sz w:val="20"/>
          <w:szCs w:val="20"/>
        </w:rPr>
        <w:t>Les animaleries restent également ouvertes.</w:t>
      </w: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B86343">
      <w:pPr>
        <w:pStyle w:val="Titre4"/>
        <w:spacing w:before="0" w:beforeAutospacing="0" w:after="0" w:afterAutospacing="0"/>
        <w:ind w:left="240"/>
        <w:rPr>
          <w:rFonts w:ascii="Georgia" w:eastAsia="Times New Roman" w:hAnsi="Georgia"/>
          <w:color w:val="000000"/>
          <w:sz w:val="20"/>
          <w:szCs w:val="20"/>
          <w:u w:val="single"/>
        </w:rPr>
      </w:pPr>
    </w:p>
    <w:p w:rsidR="00B86343" w:rsidRDefault="00B86343" w:rsidP="00043BC4">
      <w:pPr>
        <w:pStyle w:val="Titre4"/>
        <w:spacing w:before="0" w:beforeAutospacing="0" w:after="0" w:afterAutospacing="0"/>
        <w:rPr>
          <w:rFonts w:ascii="Georgia" w:eastAsia="Times New Roman" w:hAnsi="Georgia"/>
          <w:color w:val="000000"/>
          <w:sz w:val="20"/>
          <w:szCs w:val="20"/>
          <w:u w:val="single"/>
        </w:rPr>
      </w:pPr>
    </w:p>
    <w:p w:rsidR="00B86343" w:rsidRPr="00B86343" w:rsidRDefault="00B86343" w:rsidP="00B86343">
      <w:pPr>
        <w:pStyle w:val="Titre4"/>
        <w:spacing w:before="0" w:beforeAutospacing="0" w:after="0" w:afterAutospacing="0"/>
        <w:ind w:left="240"/>
        <w:rPr>
          <w:rFonts w:ascii="Georgia" w:eastAsia="Times New Roman" w:hAnsi="Georgia"/>
          <w:color w:val="000000"/>
          <w:u w:val="single"/>
        </w:rPr>
      </w:pPr>
      <w:r w:rsidRPr="00B86343">
        <w:rPr>
          <w:rFonts w:ascii="Georgia" w:eastAsia="Times New Roman" w:hAnsi="Georgia"/>
          <w:color w:val="000000"/>
          <w:u w:val="single"/>
        </w:rPr>
        <w:t>Par dérogation, restent également ouverts :</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Entretien et réparation de véhicules automobiles, de véhicules, engins et matériels agricoles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d'équipements automobiles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et réparation de motocycles et cycles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Fourniture nécessaire aux exploitations agricoles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produits surgelés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d'alimentation générale</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Supérettes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Supermarchés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Magasins multi-commerces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Hypermarchés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fruits et légumes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viandes et de produits à base de viande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poissons, crustacés et mollusques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pain, pâtisserie et confiserie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boissons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Autres commerces de détail alimentaires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Les distributions alimentaires assurées par des associations caritatives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carburants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d'équipements de l'information et de la communication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d'ordinateurs, d'unités périphériques et de logiciels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matériels de télécommunication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matériaux de construction, quincaillerie, peintures et verres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journaux et papeterie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de produits pharmaceutiques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d'articles médicaux et orthopédiques en magasin spécialisé</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d’optique</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d'aliments et fournitures pour les animaux de compagnie</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Commerce de détail alimentaire sur éventaires et marchés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Vente par automates et autres commerces de détail hors magasin, éventaires ou marchés n.c.a.</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Hôtels et hébergement similaire</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Hébergement touristique et autre hébergement de courte durée lorsqu'il constitue pour les personnes qui y vivent un domicile régulier</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Terrains de camping et parcs pour caravanes ou véhicules de loisirs lorsqu'ils constituent pour les personnes qui y vivent un domicile régulier</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Location de véhicules automobiles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Location et location-bail d'autres machines, équipements et biens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Location et location-bail de machines et équipements agricoles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Location et location-bail de machines et équipements pour la construction</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Activités des agences de placement de main-d'oeuvre</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Activités des agences de travail temporaire</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Réparation d'ordinateurs et de biens personnels et domestiques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Réparation d'ordinateurs et d'équipements de communication</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Réparation d'ordinateurs et d'équipements périphériques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Réparation d'équipements de communication</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Blanchisserie-teinturerie</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Blanchisserie-teinturerie de gros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Blanchisserie-teinturerie de détail</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Services funéraires</w:t>
      </w:r>
    </w:p>
    <w:p w:rsidR="00B86343" w:rsidRPr="00B86343" w:rsidRDefault="00B86343" w:rsidP="00B86343">
      <w:pPr>
        <w:numPr>
          <w:ilvl w:val="0"/>
          <w:numId w:val="2"/>
        </w:numPr>
        <w:ind w:left="0"/>
        <w:rPr>
          <w:rFonts w:ascii="Georgia" w:eastAsia="Times New Roman" w:hAnsi="Georgia"/>
          <w:color w:val="000000"/>
          <w:sz w:val="20"/>
          <w:szCs w:val="20"/>
        </w:rPr>
      </w:pPr>
      <w:r w:rsidRPr="00B86343">
        <w:rPr>
          <w:rFonts w:ascii="Georgia" w:eastAsia="Times New Roman" w:hAnsi="Georgia"/>
          <w:color w:val="000000"/>
          <w:sz w:val="20"/>
          <w:szCs w:val="20"/>
        </w:rPr>
        <w:t>Activités financières et d'assurance</w:t>
      </w:r>
    </w:p>
    <w:p w:rsidR="00B86343" w:rsidRPr="00B86343" w:rsidRDefault="00B86343">
      <w:pPr>
        <w:rPr>
          <w:sz w:val="20"/>
          <w:szCs w:val="20"/>
        </w:rPr>
      </w:pPr>
    </w:p>
    <w:sectPr w:rsidR="00B86343" w:rsidRPr="00B86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C0798"/>
    <w:multiLevelType w:val="multilevel"/>
    <w:tmpl w:val="23028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365454"/>
    <w:multiLevelType w:val="multilevel"/>
    <w:tmpl w:val="C436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43"/>
    <w:rsid w:val="00043BC4"/>
    <w:rsid w:val="00060670"/>
    <w:rsid w:val="002F6D7E"/>
    <w:rsid w:val="00B86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98651-C012-464C-A55C-0889A39F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43"/>
    <w:pPr>
      <w:spacing w:after="0" w:line="240" w:lineRule="auto"/>
    </w:pPr>
    <w:rPr>
      <w:rFonts w:ascii="Times New Roman" w:hAnsi="Times New Roman" w:cs="Times New Roman"/>
      <w:sz w:val="24"/>
      <w:szCs w:val="24"/>
      <w:lang w:eastAsia="fr-FR"/>
    </w:rPr>
  </w:style>
  <w:style w:type="paragraph" w:styleId="Titre4">
    <w:name w:val="heading 4"/>
    <w:basedOn w:val="Normal"/>
    <w:link w:val="Titre4Car"/>
    <w:uiPriority w:val="9"/>
    <w:semiHidden/>
    <w:unhideWhenUsed/>
    <w:qFormat/>
    <w:rsid w:val="00B86343"/>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B86343"/>
    <w:rPr>
      <w:rFonts w:ascii="Times New Roman" w:hAnsi="Times New Roman" w:cs="Times New Roman"/>
      <w:b/>
      <w:bCs/>
      <w:sz w:val="24"/>
      <w:szCs w:val="24"/>
      <w:lang w:eastAsia="fr-FR"/>
    </w:rPr>
  </w:style>
  <w:style w:type="paragraph" w:styleId="NormalWeb">
    <w:name w:val="Normal (Web)"/>
    <w:basedOn w:val="Normal"/>
    <w:uiPriority w:val="99"/>
    <w:semiHidden/>
    <w:unhideWhenUsed/>
    <w:rsid w:val="00B8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CMTI06</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DUCROQUET</dc:creator>
  <cp:keywords/>
  <dc:description/>
  <cp:lastModifiedBy>Elodie DUCROQUET</cp:lastModifiedBy>
  <cp:revision>2</cp:revision>
  <dcterms:created xsi:type="dcterms:W3CDTF">2020-03-24T13:04:00Z</dcterms:created>
  <dcterms:modified xsi:type="dcterms:W3CDTF">2020-03-24T13:21:00Z</dcterms:modified>
</cp:coreProperties>
</file>